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14:paraId="770FBC9C">
      <w:pPr>
        <w:keepNext w:val="0"/>
        <w:keepLines w:val="0"/>
        <w:pageBreakBefore w:val="0"/>
        <w:widowControl w:val="0"/>
        <w:kinsoku/>
        <w:wordWrap/>
        <w:overflowPunct/>
        <w:topLinePunct w:val="0"/>
        <w:autoSpaceDE/>
        <w:autoSpaceDN/>
        <w:bidi w:val="0"/>
        <w:adjustRightInd w:val="0"/>
        <w:snapToGrid/>
        <w:spacing w:line="240" w:lineRule="auto"/>
        <w:jc w:val="left"/>
        <w:textAlignment w:val="auto"/>
        <w:rPr>
          <w:rFonts w:ascii="黑体" w:eastAsia="黑体" w:hAnsi="黑体" w:cs="黑体" w:hint="eastAsia"/>
          <w:sz w:val="32"/>
          <w:szCs w:val="32"/>
          <w:lang w:val="en-US" w:eastAsia="zh-CN"/>
        </w:rPr>
      </w:pPr>
      <w:r>
        <w:rPr>
          <w:rFonts w:ascii="黑体" w:eastAsia="黑体" w:hAnsi="黑体" w:cs="黑体" w:hint="eastAsia"/>
          <w:sz w:val="32"/>
          <w:szCs w:val="32"/>
          <w:lang w:eastAsia="zh-CN"/>
        </w:rPr>
        <w:t>附件</w:t>
      </w:r>
      <w:r>
        <w:rPr>
          <w:rFonts w:ascii="黑体" w:eastAsia="黑体" w:hAnsi="黑体" w:cs="黑体" w:hint="eastAsia"/>
          <w:sz w:val="32"/>
          <w:szCs w:val="32"/>
          <w:lang w:val="en-US" w:eastAsia="zh-CN"/>
        </w:rPr>
        <w:t>3</w:t>
      </w:r>
    </w:p>
    <w:p w14:paraId="384883C5">
      <w:pPr>
        <w:keepNext w:val="0"/>
        <w:keepLines w:val="0"/>
        <w:pageBreakBefore w:val="0"/>
        <w:widowControl w:val="0"/>
        <w:kinsoku/>
        <w:wordWrap/>
        <w:overflowPunct/>
        <w:topLinePunct w:val="0"/>
        <w:autoSpaceDE/>
        <w:autoSpaceDN/>
        <w:bidi w:val="0"/>
        <w:adjustRightInd w:val="0"/>
        <w:snapToGrid/>
        <w:spacing w:line="720" w:lineRule="exact"/>
        <w:jc w:val="center"/>
        <w:textAlignment w:val="auto"/>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关于制定《内蒙古自治区农畜产品</w:t>
      </w:r>
    </w:p>
    <w:p w14:paraId="3A648506">
      <w:pPr>
        <w:keepNext w:val="0"/>
        <w:keepLines w:val="0"/>
        <w:pageBreakBefore w:val="0"/>
        <w:widowControl w:val="0"/>
        <w:kinsoku/>
        <w:wordWrap/>
        <w:overflowPunct/>
        <w:topLinePunct w:val="0"/>
        <w:autoSpaceDE/>
        <w:autoSpaceDN/>
        <w:bidi w:val="0"/>
        <w:adjustRightInd w:val="0"/>
        <w:snapToGrid/>
        <w:spacing w:line="720" w:lineRule="exact"/>
        <w:jc w:val="center"/>
        <w:textAlignment w:val="auto"/>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气候品质评价促进条例》的说明</w:t>
      </w:r>
    </w:p>
    <w:p w14:paraId="21261B7E">
      <w:pPr>
        <w:adjustRightInd w:val="0"/>
        <w:spacing w:line="560" w:lineRule="exact"/>
        <w:ind w:firstLine="640" w:firstLineChars="200"/>
        <w:rPr>
          <w:sz w:val="32"/>
          <w:szCs w:val="32"/>
        </w:rPr>
      </w:pPr>
    </w:p>
    <w:p w14:paraId="178691B3">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ascii="黑体" w:eastAsia="黑体" w:hAnsi="黑体" w:cs="黑体"/>
          <w:sz w:val="32"/>
          <w:szCs w:val="32"/>
        </w:rPr>
      </w:pPr>
      <w:r>
        <w:rPr>
          <w:rFonts w:ascii="黑体" w:eastAsia="黑体" w:hAnsi="黑体" w:cs="黑体" w:hint="eastAsia"/>
          <w:sz w:val="32"/>
          <w:szCs w:val="32"/>
        </w:rPr>
        <w:t>一、立法的必要性</w:t>
      </w:r>
    </w:p>
    <w:p w14:paraId="015FC418">
      <w:pPr>
        <w:pStyle w:val="NormalWeb"/>
        <w:keepNext w:val="0"/>
        <w:keepLines w:val="0"/>
        <w:pageBreakBefore w:val="0"/>
        <w:widowControl w:val="0"/>
        <w:kinsoku/>
        <w:wordWrap/>
        <w:overflowPunct/>
        <w:topLinePunct w:val="0"/>
        <w:autoSpaceDE/>
        <w:autoSpaceDN/>
        <w:bidi w:val="0"/>
        <w:snapToGrid/>
        <w:spacing w:before="0" w:beforeAutospacing="0" w:after="0" w:afterAutospacing="0" w:line="580" w:lineRule="exact"/>
        <w:ind w:firstLine="640" w:firstLineChars="200"/>
        <w:jc w:val="both"/>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农畜产品气候品质评价</w:t>
      </w:r>
      <w:r>
        <w:rPr>
          <w:rFonts w:ascii="仿宋_GB2312" w:eastAsia="仿宋_GB2312" w:hAnsi="仿宋_GB2312" w:cs="仿宋_GB2312" w:hint="eastAsia"/>
          <w:color w:val="121212"/>
          <w:sz w:val="32"/>
          <w:szCs w:val="32"/>
        </w:rPr>
        <w:t>是指依据相关技术标准和规范，对特定区域内气候条件影响农畜产品品质进行评价的活动。</w:t>
      </w:r>
      <w:r>
        <w:rPr>
          <w:rFonts w:ascii="仿宋_GB2312" w:eastAsia="仿宋_GB2312" w:hAnsi="仿宋_GB2312" w:cs="仿宋_GB2312" w:hint="eastAsia"/>
          <w:sz w:val="32"/>
          <w:szCs w:val="32"/>
        </w:rPr>
        <w:t>通过数据采集收集、实地调查、实验试验、对比分析等技术手段，设置气候条件评价指标，建立评价模型，综合评价气候对农畜产品生长发育过程的影响，最终确定农畜产品气候品质等级</w:t>
      </w:r>
      <w:r>
        <w:rPr>
          <w:rFonts w:ascii="仿宋_GB2312" w:eastAsia="仿宋_GB2312" w:hAnsi="仿宋_GB2312" w:cs="仿宋_GB2312" w:hint="eastAsia"/>
          <w:color w:val="333333"/>
          <w:sz w:val="32"/>
          <w:szCs w:val="32"/>
        </w:rPr>
        <w:t>。</w:t>
      </w:r>
      <w:r>
        <w:rPr>
          <w:rFonts w:ascii="仿宋_GB2312" w:eastAsia="仿宋_GB2312" w:hAnsi="仿宋_GB2312" w:cs="仿宋_GB2312" w:hint="eastAsia"/>
          <w:sz w:val="32"/>
          <w:szCs w:val="32"/>
        </w:rPr>
        <w:t>通过开展农畜产品气候品质评价针对性地指导农业畜牧业生产。</w:t>
      </w:r>
    </w:p>
    <w:p w14:paraId="48056017">
      <w:pPr>
        <w:pStyle w:val="NormalWeb"/>
        <w:keepNext w:val="0"/>
        <w:keepLines w:val="0"/>
        <w:pageBreakBefore w:val="0"/>
        <w:widowControl w:val="0"/>
        <w:kinsoku/>
        <w:wordWrap/>
        <w:overflowPunct/>
        <w:topLinePunct w:val="0"/>
        <w:autoSpaceDE/>
        <w:autoSpaceDN/>
        <w:bidi w:val="0"/>
        <w:snapToGrid/>
        <w:spacing w:before="0" w:beforeAutospacing="0" w:after="0" w:afterAutospacing="0" w:line="580" w:lineRule="exact"/>
        <w:ind w:firstLine="640" w:firstLineChars="200"/>
        <w:jc w:val="both"/>
        <w:textAlignment w:val="auto"/>
        <w:rPr>
          <w:rFonts w:ascii="仿宋_GB2312" w:eastAsia="仿宋_GB2312" w:hAnsi="仿宋_GB2312" w:cs="仿宋_GB2312"/>
          <w:sz w:val="32"/>
          <w:szCs w:val="32"/>
        </w:rPr>
      </w:pPr>
      <w:r>
        <w:rPr>
          <w:rFonts w:ascii="仿宋_GB2312" w:eastAsia="仿宋_GB2312" w:hAnsi="仿宋_GB2312" w:cs="仿宋_GB2312" w:hint="eastAsia"/>
          <w:sz w:val="32"/>
          <w:szCs w:val="32"/>
        </w:rPr>
        <w:t>2017年以来，内蒙古自治区气象局先后完成五原县食葵、突泉县绿豆、敖汉旗小米、突泉县小米、突泉县紫皮蒜、苏尼特羊等农畜产品气候品质评价工作。建立农畜产品溯源系统，通过一物一码技术，使农牧业生产经营主体能够快速直接的获得气象保障服务和产品信用支撑，为农畜产品建立“气候品质身份证”，实现农畜产品的全程可追溯。通过开展农畜产品气候品质评价有助于提升我区农畜产品市场竞争力，促进农牧民增收、农牧业增效，助力自治区建设国家重要农畜产品生产基地。为促进气候品质评价工作依法有序开展，为各方主体提供可预期的行为准则和规范，有必要制定本条例。</w:t>
      </w:r>
    </w:p>
    <w:p w14:paraId="481C7CB5">
      <w:pPr>
        <w:pStyle w:val="NormalWeb"/>
        <w:keepNext w:val="0"/>
        <w:keepLines w:val="0"/>
        <w:pageBreakBefore w:val="0"/>
        <w:widowControl w:val="0"/>
        <w:kinsoku/>
        <w:wordWrap/>
        <w:overflowPunct/>
        <w:topLinePunct w:val="0"/>
        <w:autoSpaceDE/>
        <w:autoSpaceDN/>
        <w:bidi w:val="0"/>
        <w:snapToGrid/>
        <w:spacing w:before="0" w:beforeAutospacing="0" w:after="0" w:afterAutospacing="0" w:line="580" w:lineRule="exact"/>
        <w:ind w:firstLine="640" w:firstLineChars="200"/>
        <w:jc w:val="both"/>
        <w:textAlignment w:val="auto"/>
        <w:rPr>
          <w:rFonts w:ascii="楷体_GB2312" w:eastAsia="楷体_GB2312" w:hAnsi="楷体_GB2312" w:cs="楷体_GB2312"/>
          <w:sz w:val="32"/>
          <w:szCs w:val="32"/>
        </w:rPr>
      </w:pPr>
      <w:r>
        <w:rPr>
          <w:rFonts w:ascii="楷体_GB2312" w:eastAsia="楷体_GB2312" w:hAnsi="楷体_GB2312" w:cs="楷体_GB2312" w:hint="eastAsia"/>
          <w:sz w:val="32"/>
          <w:szCs w:val="32"/>
        </w:rPr>
        <w:t>（一）条例的制定是贯彻落实党的二十大精神和习近平总书记重要指示的需要</w:t>
      </w:r>
    </w:p>
    <w:p w14:paraId="25A6652C">
      <w:pPr>
        <w:pStyle w:val="NormalWeb"/>
        <w:spacing w:before="0" w:beforeAutospacing="0" w:after="0" w:afterAutospacing="0" w:line="560" w:lineRule="exact"/>
        <w:ind w:firstLine="640" w:firstLineChars="20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习近平总书记为内蒙古量身定制了走以生态优先、绿色发展为导向的高质量发展路径，提出了“建设国家重要农畜产品生产基地”“积极打造现代畜牧业”的任务要求，为我区农牧业高质量发展指明方向。自治区人大、政府认真落实习近平总书记重要指示精神，先后颁布《内蒙古自治区建设国家重要农畜产品生产基地促进条例》《关于加快推动农牧业高质量发展的意见》《关于建设国家重要农畜产品生产基地的实施方案》等地方性法规和政策文件。提出要加强农畜产品区域共用品牌建设等多项举措，为推动我区农牧业发展创造有利条件。</w:t>
      </w:r>
      <w:r>
        <w:rPr>
          <w:rFonts w:ascii="仿宋_GB2312" w:eastAsia="仿宋_GB2312" w:hAnsi="仿宋_GB2312" w:cs="仿宋_GB2312"/>
          <w:sz w:val="32"/>
          <w:szCs w:val="32"/>
        </w:rPr>
        <w:t>条例</w:t>
      </w:r>
      <w:r>
        <w:rPr>
          <w:rFonts w:ascii="仿宋_GB2312" w:eastAsia="仿宋_GB2312" w:hAnsi="仿宋_GB2312" w:cs="仿宋_GB2312" w:hint="eastAsia"/>
          <w:sz w:val="32"/>
          <w:szCs w:val="32"/>
        </w:rPr>
        <w:t>的制定是全面贯彻落实党的二十大决策部署和习近平总书记重要指示的具体体现。</w:t>
      </w:r>
    </w:p>
    <w:p w14:paraId="68360619">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（二）条例的制定是建设国家重要农畜产品生产基地的需要</w:t>
      </w:r>
    </w:p>
    <w:p w14:paraId="32439910">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内蒙古作为祖国的北大门，地域辽阔，适宜农作物种植和畜牧生长。“建设国家重要农畜产品生产基地”，需要深入实施农畜产品区域公用品牌建设行动，培育打造具有鲜明地域特色的农畜产品区域共用品牌。通过开展</w:t>
      </w:r>
      <w:r>
        <w:rPr>
          <w:rFonts w:ascii="仿宋_GB2312" w:eastAsia="仿宋_GB2312" w:hAnsi="仿宋_GB2312" w:cs="仿宋_GB2312"/>
          <w:sz w:val="32"/>
          <w:szCs w:val="32"/>
        </w:rPr>
        <w:t>农</w:t>
      </w:r>
      <w:r>
        <w:rPr>
          <w:rFonts w:ascii="仿宋_GB2312" w:eastAsia="仿宋_GB2312" w:hAnsi="仿宋_GB2312" w:cs="仿宋_GB2312" w:hint="eastAsia"/>
          <w:sz w:val="32"/>
          <w:szCs w:val="32"/>
        </w:rPr>
        <w:t>畜</w:t>
      </w:r>
      <w:r>
        <w:rPr>
          <w:rFonts w:ascii="仿宋_GB2312" w:eastAsia="仿宋_GB2312" w:hAnsi="仿宋_GB2312" w:cs="仿宋_GB2312"/>
          <w:sz w:val="32"/>
          <w:szCs w:val="32"/>
        </w:rPr>
        <w:t>产品</w:t>
      </w:r>
      <w:r>
        <w:rPr>
          <w:rFonts w:ascii="仿宋_GB2312" w:eastAsia="仿宋_GB2312" w:hAnsi="仿宋_GB2312" w:cs="仿宋_GB2312" w:hint="eastAsia"/>
          <w:sz w:val="32"/>
          <w:szCs w:val="32"/>
        </w:rPr>
        <w:t>气候品质评价，深入挖掘农畜产品中潜在的气候品质价值，赋予气象科技内涵，助力农牧民增收、农牧业增效。农畜产品气候品质评工作是对绿色食品、有机食品和地理标识评价工作的一种有益补充。条例的制定符合“小切口”立法的要求，通过促进型立法的形式有效提高气象为农牧业服务能力和水平。</w:t>
      </w:r>
    </w:p>
    <w:p w14:paraId="19E1DBD7">
      <w:pPr>
        <w:spacing w:line="560" w:lineRule="exact"/>
        <w:ind w:firstLine="640" w:firstLineChars="20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（三）条例的制定是气象服务高质量发展的需要</w:t>
      </w:r>
    </w:p>
    <w:p w14:paraId="3B532378">
      <w:pPr>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国务院颁布的《气象高质量发展纲要（2022-2035）》提出，要充分利用气候条件指导农业生产和农业结构调整。要推动完善气象法律法规体系。加强农业气候资源开发利用，提高气象服务质量和水平。条例的制定符合国家推动气象高质量发展要求，通过地方立法对气候品质评价进行规范，强化气象为农牧业服务的职责。</w:t>
      </w:r>
    </w:p>
    <w:p w14:paraId="2F506B52">
      <w:pPr>
        <w:adjustRightInd w:val="0"/>
        <w:spacing w:line="560" w:lineRule="exact"/>
        <w:ind w:firstLine="640" w:firstLineChars="200"/>
        <w:rPr>
          <w:rFonts w:ascii="黑体" w:eastAsia="黑体" w:hAnsi="黑体" w:cs="黑体"/>
          <w:sz w:val="32"/>
          <w:szCs w:val="32"/>
        </w:rPr>
      </w:pPr>
      <w:r>
        <w:rPr>
          <w:rFonts w:ascii="黑体" w:eastAsia="黑体" w:hAnsi="黑体" w:cs="黑体" w:hint="eastAsia"/>
          <w:sz w:val="32"/>
          <w:szCs w:val="32"/>
        </w:rPr>
        <w:t>二、立法依据</w:t>
      </w:r>
    </w:p>
    <w:p w14:paraId="06D2C138">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《中华人民共和国气象法》、《内蒙古自治区气象条例》、《内蒙古自治区建设国家重要农畜产品生产基地促进条例》等。</w:t>
      </w:r>
    </w:p>
    <w:p w14:paraId="21C55C0E">
      <w:pPr>
        <w:adjustRightInd w:val="0"/>
        <w:spacing w:line="560" w:lineRule="exact"/>
        <w:ind w:firstLine="640" w:firstLineChars="200"/>
        <w:rPr>
          <w:rFonts w:ascii="黑体" w:eastAsia="黑体" w:hAnsi="黑体" w:cs="黑体"/>
          <w:sz w:val="32"/>
          <w:szCs w:val="32"/>
        </w:rPr>
      </w:pPr>
      <w:r>
        <w:rPr>
          <w:rFonts w:ascii="黑体" w:eastAsia="黑体" w:hAnsi="黑体" w:cs="黑体" w:hint="eastAsia"/>
          <w:sz w:val="32"/>
          <w:szCs w:val="32"/>
        </w:rPr>
        <w:t>三、立法需要解决的几个问题</w:t>
      </w:r>
    </w:p>
    <w:p w14:paraId="5CB6B9C3">
      <w:pPr>
        <w:pStyle w:val="NormalWeb"/>
        <w:spacing w:before="0" w:beforeAutospacing="0" w:after="0" w:afterAutospacing="0" w:line="560" w:lineRule="exact"/>
        <w:ind w:firstLine="640" w:firstLineChars="200"/>
        <w:jc w:val="both"/>
        <w:rPr>
          <w:rFonts w:ascii="楷体_GB2312" w:eastAsia="楷体_GB2312" w:hAnsi="楷体_GB2312" w:cs="楷体_GB2312"/>
          <w:spacing w:val="-6"/>
          <w:sz w:val="32"/>
          <w:szCs w:val="32"/>
        </w:rPr>
      </w:pPr>
      <w:r>
        <w:rPr>
          <w:rFonts w:ascii="楷体_GB2312" w:eastAsia="楷体_GB2312" w:hAnsi="楷体_GB2312" w:cs="楷体_GB2312" w:hint="eastAsia"/>
          <w:spacing w:val="-6"/>
          <w:sz w:val="32"/>
          <w:szCs w:val="32"/>
        </w:rPr>
        <w:t>（一）明确农畜产品气候品质</w:t>
      </w:r>
      <w:bookmarkStart w:id="0" w:name="_GoBack"/>
      <w:bookmarkEnd w:id="0"/>
      <w:r>
        <w:rPr>
          <w:rFonts w:ascii="楷体_GB2312" w:eastAsia="楷体_GB2312" w:hAnsi="楷体_GB2312" w:cs="楷体_GB2312" w:hint="eastAsia"/>
          <w:spacing w:val="-6"/>
          <w:sz w:val="32"/>
          <w:szCs w:val="32"/>
        </w:rPr>
        <w:t>评价属于公益性农牧业气象服务</w:t>
      </w:r>
    </w:p>
    <w:p w14:paraId="084DFCE3">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农畜产品气候品质评价属于公益性农牧业气象服务。明确依托</w:t>
      </w:r>
      <w:r>
        <w:rPr>
          <w:rFonts w:ascii="仿宋_GB2312" w:eastAsia="仿宋_GB2312" w:hAnsi="仿宋_GB2312" w:cs="仿宋_GB2312"/>
          <w:sz w:val="32"/>
          <w:szCs w:val="32"/>
        </w:rPr>
        <w:t>评价</w:t>
      </w:r>
      <w:r>
        <w:rPr>
          <w:rFonts w:ascii="仿宋_GB2312" w:eastAsia="仿宋_GB2312" w:hAnsi="仿宋_GB2312" w:cs="仿宋_GB2312" w:hint="eastAsia"/>
          <w:sz w:val="32"/>
          <w:szCs w:val="32"/>
        </w:rPr>
        <w:t>产生的农畜产品气候评价区域公</w:t>
      </w:r>
      <w:r>
        <w:rPr>
          <w:rFonts w:ascii="仿宋_GB2312" w:eastAsia="仿宋_GB2312" w:hAnsi="仿宋_GB2312" w:cs="仿宋_GB2312" w:hint="eastAsia"/>
          <w:spacing w:val="-6"/>
          <w:sz w:val="32"/>
          <w:szCs w:val="32"/>
        </w:rPr>
        <w:t>用品牌</w:t>
      </w:r>
      <w:r>
        <w:rPr>
          <w:rFonts w:ascii="仿宋_GB2312" w:eastAsia="仿宋_GB2312" w:hAnsi="仿宋_GB2312" w:cs="仿宋_GB2312"/>
          <w:spacing w:val="-6"/>
          <w:sz w:val="32"/>
          <w:szCs w:val="32"/>
        </w:rPr>
        <w:t>，</w:t>
      </w:r>
      <w:r>
        <w:rPr>
          <w:rFonts w:ascii="仿宋_GB2312" w:eastAsia="仿宋_GB2312" w:hAnsi="仿宋_GB2312" w:cs="仿宋_GB2312" w:hint="eastAsia"/>
          <w:spacing w:val="-6"/>
          <w:sz w:val="32"/>
          <w:szCs w:val="32"/>
        </w:rPr>
        <w:t>由旗县级人民政府持有，免费供农牧业生产经营主体使用。农畜产品气候可行性评价</w:t>
      </w:r>
      <w:r>
        <w:rPr>
          <w:rFonts w:ascii="仿宋_GB2312" w:eastAsia="仿宋_GB2312" w:hAnsi="仿宋_GB2312" w:cs="仿宋_GB2312" w:hint="eastAsia"/>
          <w:sz w:val="32"/>
          <w:szCs w:val="32"/>
        </w:rPr>
        <w:t>区域公</w:t>
      </w:r>
      <w:r>
        <w:rPr>
          <w:rFonts w:ascii="仿宋_GB2312" w:eastAsia="仿宋_GB2312" w:hAnsi="仿宋_GB2312" w:cs="仿宋_GB2312" w:hint="eastAsia"/>
          <w:spacing w:val="-6"/>
          <w:sz w:val="32"/>
          <w:szCs w:val="32"/>
        </w:rPr>
        <w:t>用品牌所需经费列入本级政府预算。</w:t>
      </w:r>
    </w:p>
    <w:p w14:paraId="26B4256A">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（二）明确由政府组织开展农畜产品气候品质评价</w:t>
      </w:r>
    </w:p>
    <w:p w14:paraId="111694E3">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明确由旗县级以上人民政府应当建立健全气候生态产品价值实现机制，组织开展农畜产品气候品质评价。</w:t>
      </w:r>
    </w:p>
    <w:p w14:paraId="3EBEF2F8">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（三）明确运用农畜产品气候品质评价指导农牧业生产</w:t>
      </w:r>
    </w:p>
    <w:p w14:paraId="04085DF3">
      <w:pPr>
        <w:adjustRightInd w:val="0"/>
        <w:spacing w:line="560" w:lineRule="exact"/>
        <w:ind w:firstLine="640" w:firstLineChars="200"/>
        <w:rPr>
          <w:rFonts w:ascii="仿宋_GB2312" w:eastAsia="仿宋_GB2312" w:hAnsi="仿宋_GB2312" w:cs="仿宋_GB2312"/>
          <w:color w:val="121212"/>
          <w:sz w:val="32"/>
          <w:szCs w:val="32"/>
        </w:rPr>
      </w:pPr>
      <w:r>
        <w:rPr>
          <w:rFonts w:ascii="仿宋_GB2312" w:eastAsia="仿宋_GB2312" w:hAnsi="仿宋_GB2312" w:cs="仿宋_GB2312" w:hint="eastAsia"/>
          <w:sz w:val="32"/>
          <w:szCs w:val="32"/>
        </w:rPr>
        <w:t>明确由旗县级以上人民政府组织开展本行政区域内气候资源调查和区划工作。</w:t>
      </w:r>
      <w:r>
        <w:rPr>
          <w:rFonts w:ascii="仿宋_GB2312" w:eastAsia="仿宋_GB2312" w:hAnsi="仿宋_GB2312" w:cs="仿宋_GB2312" w:hint="eastAsia"/>
          <w:color w:val="121212"/>
          <w:sz w:val="32"/>
          <w:szCs w:val="32"/>
        </w:rPr>
        <w:t>支持农畜产品气候品质评价的推广和应用。</w:t>
      </w:r>
      <w:r>
        <w:rPr>
          <w:rFonts w:ascii="仿宋_GB2312" w:eastAsia="仿宋_GB2312" w:hAnsi="仿宋_GB2312" w:cs="仿宋_GB2312" w:hint="eastAsia"/>
          <w:spacing w:val="-6"/>
          <w:sz w:val="32"/>
          <w:szCs w:val="32"/>
        </w:rPr>
        <w:t>依据气候品质评价结果，因地制宜促进优质特色农畜产品产业发展。</w:t>
      </w:r>
    </w:p>
    <w:p w14:paraId="2E2F3271">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（四）明确建立农畜产品气候品质评价备选目录制度</w:t>
      </w:r>
    </w:p>
    <w:p w14:paraId="5EC9027B">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鉴于我区地域面积较大，农畜产品种类繁多，受气候资料、技术规范、种植面积等多重因素制约，为保障评价的科学性、严谨性，建立农畜产品气候品质评价备选目录制度。通过目录管理</w:t>
      </w:r>
      <w:r>
        <w:rPr>
          <w:rFonts w:ascii="仿宋_GB2312" w:eastAsia="仿宋_GB2312" w:hAnsi="仿宋_GB2312" w:cs="仿宋_GB2312" w:hint="eastAsia"/>
          <w:spacing w:val="-6"/>
          <w:sz w:val="32"/>
          <w:szCs w:val="32"/>
        </w:rPr>
        <w:t>方式将现阶段适宜开展评价的地区、品类对外公布，实行动态管理。</w:t>
      </w:r>
    </w:p>
    <w:p w14:paraId="422AE125">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（五）明确申报与评价内容</w:t>
      </w:r>
    </w:p>
    <w:p w14:paraId="4327282B">
      <w:pPr>
        <w:adjustRightInd w:val="0"/>
        <w:spacing w:line="560" w:lineRule="exact"/>
        <w:ind w:firstLine="640" w:firstLineChars="20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明确农畜产品气候品质评价工作由旗县级人民政府进行申请，由具备农畜产品气候品质评价能力的第三方评价机构开展。申报农畜产品气候品质评价需要符合法定条件，评价结果将以证书形式进行发放。同时，要求评价机构建立农畜产品气候品质评价溯源系统，方便消费者查询。</w:t>
      </w:r>
    </w:p>
    <w:p w14:paraId="69E39213">
      <w:pPr>
        <w:pStyle w:val="NormalWeb"/>
        <w:spacing w:before="0" w:beforeAutospacing="0" w:after="0" w:afterAutospacing="0" w:line="560" w:lineRule="exact"/>
        <w:ind w:firstLine="640" w:firstLineChars="200"/>
        <w:jc w:val="both"/>
        <w:rPr>
          <w:rFonts w:ascii="楷体_GB2312" w:eastAsia="楷体_GB2312" w:hAnsi="楷体_GB2312" w:cs="楷体_GB2312"/>
          <w:sz w:val="32"/>
          <w:szCs w:val="32"/>
        </w:rPr>
      </w:pPr>
      <w:r>
        <w:rPr>
          <w:rFonts w:ascii="楷体_GB2312" w:eastAsia="楷体_GB2312" w:hAnsi="楷体_GB2312" w:cs="楷体_GB2312" w:hint="eastAsia"/>
          <w:sz w:val="32"/>
          <w:szCs w:val="32"/>
        </w:rPr>
        <w:t>（六）确立农畜产品气候品质评价标识使用与保护制度</w:t>
      </w:r>
    </w:p>
    <w:p w14:paraId="47136732">
      <w:pPr>
        <w:adjustRightInd w:val="0"/>
        <w:spacing w:line="56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明确由农畜产品生产经营主体向持有农畜产品气候品质评价证书的旗县级人民政府免费领取农畜产品气候品质评价标识，并明确标识使用范围和保护要求。</w:t>
      </w:r>
    </w:p>
    <w:p w14:paraId="35EE3CF5">
      <w:pPr>
        <w:spacing w:line="560" w:lineRule="exact"/>
        <w:ind w:firstLine="640" w:firstLineChars="200"/>
        <w:rPr>
          <w:sz w:val="32"/>
          <w:szCs w:val="32"/>
        </w:rPr>
      </w:pPr>
    </w:p>
    <w:sectPr>
      <w:footerReference w:type="default" r:id="rId5"/>
      <w:pgSz w:w="11906" w:h="16838"/>
      <w:pgMar w:top="2098" w:right="1474" w:bottom="1984" w:left="1587" w:header="851" w:footer="1417" w:gutter="0"/>
      <w:pgNumType w:fmt="numberInDash"/>
      <w:cols w:num="1" w:space="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6CAA57DD">
    <w:pPr>
      <w:pStyle w:val="Footer"/>
      <w:jc w:val="both"/>
    </w:pPr>
    <w:r>
      <w:pict>
        <v:shapetype id="_x0000_t202" coordsize="21600,21600" o:spt="202" path="m,l,21600r21600,l21600,xe">
          <v:stroke joinstyle="miter"/>
          <v:path gradientshapeok="t" o:connecttype="rect"/>
        </v:shapetype>
        <v:shape id="_x0000_s2050" o:spid="_x0000_s2049" type="#_x0000_t202" style="width:2in;height:2in;margin-top:0;margin-left:0;mso-height-relative:page;mso-position-horizontal:outside;mso-position-horizontal-relative:margin;mso-width-relative:page;mso-wrap-style:none;position:absolute;z-index:251658240" coordsize="21600,21600" filled="f" stroked="f">
          <v:stroke joinstyle="miter"/>
          <v:textbox style="mso-fit-shape-to-text:t" inset="0,0,0,0">
            <w:txbxContent>
              <w:sdt>
                <w:sdtPr>
                  <w:rPr>
                    <w:rFonts w:ascii="宋体" w:eastAsia="宋体" w:hAnsi="宋体" w:cs="宋体" w:hint="eastAsia"/>
                    <w:sz w:val="28"/>
                    <w:szCs w:val="28"/>
                  </w:rPr>
                  <w:id w:val="102096508"/>
                  <w:richText/>
                </w:sdtPr>
                <w:sdtEndPr>
                  <w:rPr>
                    <w:rFonts w:ascii="宋体" w:eastAsia="宋体" w:hAnsi="宋体" w:cs="宋体" w:hint="eastAsia"/>
                    <w:sz w:val="28"/>
                    <w:szCs w:val="28"/>
                  </w:rPr>
                </w:sdtEndPr>
                <w:sdtContent>
                  <w:p w14:paraId="42B18E56">
                    <w:pPr>
                      <w:pStyle w:val="Footer"/>
                      <w:jc w:val="center"/>
                      <w:rPr>
                        <w:rFonts w:ascii="宋体" w:eastAsia="宋体" w:hAnsi="宋体" w:cs="宋体"/>
                        <w:sz w:val="28"/>
                        <w:szCs w:val="28"/>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sz w:val="28"/>
                        <w:szCs w:val="28"/>
                        <w:lang w:val="zh-CN"/>
                      </w:rPr>
                      <w:t>-</w:t>
                    </w:r>
                    <w:r>
                      <w:rPr>
                        <w:rFonts w:ascii="宋体" w:eastAsia="宋体" w:hAnsi="宋体" w:cs="宋体"/>
                        <w:sz w:val="28"/>
                        <w:szCs w:val="28"/>
                      </w:rPr>
                      <w:t xml:space="preserve"> 4 -</w:t>
                    </w:r>
                    <w:r>
                      <w:rPr>
                        <w:rFonts w:ascii="宋体" w:eastAsia="宋体" w:hAnsi="宋体" w:cs="宋体" w:hint="eastAsia"/>
                        <w:sz w:val="28"/>
                        <w:szCs w:val="28"/>
                        <w:lang w:val="zh-CN"/>
                      </w:rPr>
                      <w:fldChar w:fldCharType="end"/>
                    </w:r>
                  </w:p>
                </w:sdtContent>
              </w:sdt>
            </w:txbxContent>
          </v:textbox>
          <w10:wrap anchorx="margin"/>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76A"/>
    <w:rsid w:val="000401A9"/>
    <w:rsid w:val="00072F22"/>
    <w:rsid w:val="000B2147"/>
    <w:rsid w:val="000E1E3B"/>
    <w:rsid w:val="000F5F4A"/>
    <w:rsid w:val="000F7291"/>
    <w:rsid w:val="001D7180"/>
    <w:rsid w:val="00204B1B"/>
    <w:rsid w:val="00295ADF"/>
    <w:rsid w:val="00325574"/>
    <w:rsid w:val="003454E8"/>
    <w:rsid w:val="004243FD"/>
    <w:rsid w:val="0042545E"/>
    <w:rsid w:val="00440A51"/>
    <w:rsid w:val="0044789A"/>
    <w:rsid w:val="004D3A94"/>
    <w:rsid w:val="00560D9B"/>
    <w:rsid w:val="005714F3"/>
    <w:rsid w:val="0058620E"/>
    <w:rsid w:val="005E0E64"/>
    <w:rsid w:val="006101D7"/>
    <w:rsid w:val="0065469F"/>
    <w:rsid w:val="007F7BE0"/>
    <w:rsid w:val="008B083A"/>
    <w:rsid w:val="008B6ECF"/>
    <w:rsid w:val="00936038"/>
    <w:rsid w:val="009B319B"/>
    <w:rsid w:val="00A44387"/>
    <w:rsid w:val="00A50543"/>
    <w:rsid w:val="00A632E2"/>
    <w:rsid w:val="00AB5F52"/>
    <w:rsid w:val="00B01AD6"/>
    <w:rsid w:val="00B2365A"/>
    <w:rsid w:val="00B24DDE"/>
    <w:rsid w:val="00B455E4"/>
    <w:rsid w:val="00BE6805"/>
    <w:rsid w:val="00BF6306"/>
    <w:rsid w:val="00C04E6F"/>
    <w:rsid w:val="00C818B5"/>
    <w:rsid w:val="00CA4922"/>
    <w:rsid w:val="00CA7193"/>
    <w:rsid w:val="00CC676A"/>
    <w:rsid w:val="00D30823"/>
    <w:rsid w:val="00D35012"/>
    <w:rsid w:val="00D86616"/>
    <w:rsid w:val="00DC3EDC"/>
    <w:rsid w:val="00EB35C1"/>
    <w:rsid w:val="00EE32AA"/>
    <w:rsid w:val="00EF433A"/>
    <w:rsid w:val="00F02AB6"/>
    <w:rsid w:val="00F447A8"/>
    <w:rsid w:val="3CCE7A44"/>
    <w:rsid w:val="6A4F0377"/>
  </w:rsids>
  <w:docVars>
    <w:docVar w:name="commondata" w:val="eyJoZGlkIjoiMzQ5NDYxNWViNWNlOTAwNGU2MDdiZmQwODNiMzc2M2Y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pPr>
      <w:spacing w:before="100" w:beforeAutospacing="1" w:after="100" w:afterAutospacing="1"/>
      <w:jc w:val="left"/>
    </w:pPr>
    <w:rPr>
      <w:kern w:val="0"/>
      <w:sz w:val="24"/>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uiPriority w:val="99"/>
    <w:semiHidden/>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1929</Words>
  <Characters>1940</Characters>
  <Application>Microsoft Office Word</Application>
  <DocSecurity>0</DocSecurity>
  <Lines>13</Lines>
  <Paragraphs>3</Paragraphs>
  <ScaleCrop>false</ScaleCrop>
  <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张亚楠</dc:creator>
  <cp:lastModifiedBy>张鑫</cp:lastModifiedBy>
  <cp:revision>5</cp:revision>
  <dcterms:created xsi:type="dcterms:W3CDTF">2024-04-22T03:31:00Z</dcterms:created>
  <dcterms:modified xsi:type="dcterms:W3CDTF">2025-10-09T09:13:43Z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019AF7AF6A0144DBA3CA7B76152D26AB_13</vt:lpwstr>
  </property>
  <property fmtid="{D5CDD505-2E9C-101B-9397-08002B2CF9AE}" pid="3" name="KSOProductBuildVer">
    <vt:lpwstr>2052-12.1.0.20784</vt:lpwstr>
  </property>
  <property fmtid="{D5CDD505-2E9C-101B-9397-08002B2CF9AE}" pid="4" name="KSOTemplateDocerSaveRecord">
    <vt:lpwstr>eyJoZGlkIjoiMzQ5NDYxNWViNWNlOTAwNGU2MDdiZmQwODNiMzc2M2YiLCJ1c2VySWQiOiIzMzU4NTM3NzcifQ==</vt:lpwstr>
  </property>
</Properties>
</file>